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F3" w:rsidRDefault="008A3A0D">
      <w:pPr>
        <w:jc w:val="center"/>
        <w:rPr>
          <w:rFonts w:hint="eastAsia"/>
        </w:rPr>
      </w:pPr>
      <w:proofErr w:type="spellStart"/>
      <w:r>
        <w:rPr>
          <w:rFonts w:ascii="Arial" w:hAnsi="Arial"/>
          <w:sz w:val="20"/>
          <w:szCs w:val="20"/>
        </w:rPr>
        <w:t>minna</w:t>
      </w:r>
      <w:proofErr w:type="spellEnd"/>
      <w:r>
        <w:rPr>
          <w:rFonts w:ascii="Arial" w:hAnsi="Arial"/>
          <w:sz w:val="20"/>
          <w:szCs w:val="20"/>
        </w:rPr>
        <w:t xml:space="preserve"> </w:t>
      </w:r>
      <w:proofErr w:type="spellStart"/>
      <w:r>
        <w:rPr>
          <w:rFonts w:ascii="Arial" w:hAnsi="Arial"/>
          <w:sz w:val="20"/>
          <w:szCs w:val="20"/>
        </w:rPr>
        <w:t>antova</w:t>
      </w:r>
      <w:proofErr w:type="spellEnd"/>
      <w:r>
        <w:rPr>
          <w:rFonts w:ascii="Arial" w:hAnsi="Arial"/>
          <w:sz w:val="20"/>
          <w:szCs w:val="20"/>
        </w:rPr>
        <w:t xml:space="preserve"> * a-2500 baden * </w:t>
      </w:r>
      <w:proofErr w:type="spellStart"/>
      <w:r>
        <w:rPr>
          <w:rFonts w:ascii="Arial" w:hAnsi="Arial"/>
          <w:sz w:val="20"/>
          <w:szCs w:val="20"/>
        </w:rPr>
        <w:t>bahngasse</w:t>
      </w:r>
      <w:proofErr w:type="spellEnd"/>
      <w:r>
        <w:rPr>
          <w:rFonts w:ascii="Arial" w:hAnsi="Arial"/>
          <w:sz w:val="20"/>
          <w:szCs w:val="20"/>
        </w:rPr>
        <w:t xml:space="preserve"> 10 * +43 681 10775979 * </w:t>
      </w:r>
      <w:hyperlink r:id="rId4">
        <w:r>
          <w:rPr>
            <w:rStyle w:val="Hyperlink"/>
            <w:rFonts w:ascii="Arial" w:hAnsi="Arial"/>
            <w:sz w:val="20"/>
            <w:szCs w:val="20"/>
          </w:rPr>
          <w:t>minna.antova@aon.at</w:t>
        </w:r>
      </w:hyperlink>
      <w:r>
        <w:rPr>
          <w:rStyle w:val="Hyperlink"/>
          <w:rFonts w:ascii="Arial" w:hAnsi="Arial"/>
          <w:sz w:val="20"/>
          <w:szCs w:val="20"/>
        </w:rPr>
        <w:t xml:space="preserve"> </w:t>
      </w:r>
      <w:hyperlink r:id="rId5">
        <w:r>
          <w:rPr>
            <w:rStyle w:val="Hyperlink"/>
            <w:rFonts w:ascii="Arial" w:hAnsi="Arial"/>
            <w:sz w:val="20"/>
            <w:szCs w:val="20"/>
          </w:rPr>
          <w:t>www.facebook.com/minna.antova.3</w:t>
        </w:r>
      </w:hyperlink>
      <w:r>
        <w:rPr>
          <w:rFonts w:ascii="Arial" w:hAnsi="Arial"/>
          <w:sz w:val="20"/>
          <w:szCs w:val="20"/>
        </w:rPr>
        <w:t xml:space="preserve"> </w:t>
      </w:r>
    </w:p>
    <w:p w:rsidR="007F6EF3" w:rsidRDefault="008A3A0D">
      <w:pPr>
        <w:jc w:val="center"/>
        <w:rPr>
          <w:rFonts w:hint="eastAsia"/>
        </w:rPr>
      </w:pPr>
      <w:hyperlink>
        <w:r>
          <w:rPr>
            <w:rStyle w:val="Hyperlink"/>
            <w:rFonts w:ascii="Arial" w:hAnsi="Arial"/>
            <w:sz w:val="20"/>
            <w:szCs w:val="20"/>
          </w:rPr>
          <w:t>www.calliope.at/minna-antova</w:t>
        </w:r>
      </w:hyperlink>
    </w:p>
    <w:p w:rsidR="007F6EF3" w:rsidRDefault="007F6EF3">
      <w:pPr>
        <w:jc w:val="center"/>
        <w:rPr>
          <w:rFonts w:ascii="Arial" w:hAnsi="Arial"/>
          <w:sz w:val="20"/>
          <w:szCs w:val="20"/>
        </w:rPr>
      </w:pPr>
    </w:p>
    <w:p w:rsidR="007F6EF3" w:rsidRDefault="007F6EF3">
      <w:pPr>
        <w:jc w:val="right"/>
        <w:rPr>
          <w:rFonts w:ascii="Arial" w:hAnsi="Arial"/>
        </w:rPr>
      </w:pPr>
    </w:p>
    <w:p w:rsidR="007F6EF3" w:rsidRDefault="007F6EF3">
      <w:pPr>
        <w:jc w:val="right"/>
        <w:rPr>
          <w:rFonts w:ascii="Arial" w:hAnsi="Arial"/>
          <w:sz w:val="22"/>
          <w:szCs w:val="22"/>
        </w:rPr>
      </w:pPr>
    </w:p>
    <w:p w:rsidR="007F6EF3" w:rsidRDefault="008A3A0D">
      <w:pPr>
        <w:jc w:val="right"/>
        <w:rPr>
          <w:rFonts w:hint="eastAsia"/>
          <w:b/>
          <w:bCs/>
        </w:rPr>
      </w:pPr>
      <w:r>
        <w:rPr>
          <w:b/>
          <w:bCs/>
        </w:rPr>
        <w:t>MARSYA/S</w:t>
      </w:r>
    </w:p>
    <w:p w:rsidR="007F6EF3" w:rsidRDefault="007F6EF3">
      <w:pPr>
        <w:rPr>
          <w:rFonts w:hint="eastAsia"/>
        </w:rPr>
      </w:pPr>
    </w:p>
    <w:p w:rsidR="007F6EF3" w:rsidRDefault="008A3A0D">
      <w:pPr>
        <w:jc w:val="right"/>
        <w:rPr>
          <w:rFonts w:hint="eastAsia"/>
        </w:rPr>
      </w:pPr>
      <w:r>
        <w:t>In meinem Werk erforsche ich Bereiche des Rätselhaften und des Alltäglichen. Insbesondere interessiere ich mich für die kulturelle Fracht, die durch Mythen vermittelt wird, und vor allem für den ihnen innewohnenden</w:t>
      </w:r>
      <w:r>
        <w:t xml:space="preserve"> Widerspruch, den Kern der Wahrheit, der in ihrer allgemein akzeptierten Fiktion kontrolliert wird. Die künstlerische Recherche dient als Werkzeug, um die Grenze zwischen Wahrheit und Fiktion zu erfassen. Indem ich Elemente aus der Struktur des Mythos entl</w:t>
      </w:r>
      <w:r>
        <w:t xml:space="preserve">ehne und sie auf einem symbolischen Raum übertrage, entsteht </w:t>
      </w:r>
      <w:bookmarkStart w:id="0" w:name="_GoBack"/>
      <w:bookmarkEnd w:id="0"/>
      <w:r>
        <w:t>eine ironisch gebrochene Mythos-Perspektive.</w:t>
      </w:r>
    </w:p>
    <w:p w:rsidR="007F6EF3" w:rsidRDefault="008A3A0D">
      <w:pPr>
        <w:jc w:val="right"/>
        <w:rPr>
          <w:rFonts w:hint="eastAsia"/>
        </w:rPr>
      </w:pPr>
      <w:r>
        <w:t>Der Mensch ist in diesen Arbeiten als „Zeichen“ anwesend, entlehnt der Semiotik von Artefakten der griechischen Archaik – der Mythen-Entstehungszeit.</w:t>
      </w:r>
    </w:p>
    <w:p w:rsidR="007F6EF3" w:rsidRDefault="007F6EF3">
      <w:pPr>
        <w:jc w:val="right"/>
        <w:rPr>
          <w:rFonts w:hint="eastAsia"/>
        </w:rPr>
      </w:pPr>
    </w:p>
    <w:p w:rsidR="007F6EF3" w:rsidRDefault="008A3A0D">
      <w:pPr>
        <w:jc w:val="right"/>
        <w:rPr>
          <w:rFonts w:hint="eastAsia"/>
          <w:i/>
          <w:iCs/>
        </w:rPr>
      </w:pPr>
      <w:r>
        <w:rPr>
          <w:i/>
          <w:iCs/>
        </w:rPr>
        <w:t xml:space="preserve">Marsyas spielte so lustvoll auf der Doppelflöte, dass er den Gott Apollon zum Wettstreit herausforderte und zunächst besiegte. Apollon hängte Marsyas zur Strafe für den Frevel, ihn herausgefordert zu haben, an einer Fichte (dem heiligen Baum der Kybele) </w:t>
      </w:r>
      <w:r>
        <w:rPr>
          <w:i/>
          <w:iCs/>
        </w:rPr>
        <w:t>auf. Dem aufgehängten Marsyas wurde bei lebendigem Leib die Haut abgezogen…</w:t>
      </w:r>
    </w:p>
    <w:p w:rsidR="007F6EF3" w:rsidRDefault="008A3A0D">
      <w:pPr>
        <w:jc w:val="right"/>
        <w:rPr>
          <w:rFonts w:hint="eastAsia"/>
        </w:rPr>
      </w:pPr>
      <w:r>
        <w:t xml:space="preserve"> </w:t>
      </w:r>
    </w:p>
    <w:p w:rsidR="007F6EF3" w:rsidRDefault="008A3A0D">
      <w:pPr>
        <w:jc w:val="right"/>
        <w:rPr>
          <w:rFonts w:hint="eastAsia"/>
        </w:rPr>
      </w:pPr>
      <w:r>
        <w:t>Der Marsyas-Mythos kann als eine Hybris-Parabel wo Sterbliches sich über Göttliches (Vollkommenes, Zeitloses) erheben will, eine Parabel über das Verhältnis von Ohnmacht und Mach</w:t>
      </w:r>
      <w:r>
        <w:t>t, Kontrolle und Freiheit.</w:t>
      </w:r>
    </w:p>
    <w:p w:rsidR="007F6EF3" w:rsidRDefault="008A3A0D">
      <w:pPr>
        <w:jc w:val="right"/>
        <w:rPr>
          <w:rFonts w:hint="eastAsia"/>
        </w:rPr>
      </w:pPr>
      <w:r>
        <w:t xml:space="preserve">Die Schindung kann auch als eine Allegorie der Katharsis gelesen </w:t>
      </w:r>
      <w:proofErr w:type="gramStart"/>
      <w:r>
        <w:t>werden,  d.h.</w:t>
      </w:r>
      <w:proofErr w:type="gramEnd"/>
      <w:r>
        <w:t xml:space="preserve"> die irdische Hülle muss schmerzvoll abgestreift werden, um zur höheren Erkenntnis zu gelangen. </w:t>
      </w:r>
    </w:p>
    <w:p w:rsidR="007F6EF3" w:rsidRDefault="008A3A0D">
      <w:pPr>
        <w:jc w:val="right"/>
        <w:rPr>
          <w:rFonts w:hint="eastAsia"/>
        </w:rPr>
      </w:pPr>
      <w:r>
        <w:t>Freudianisch gesprochen, geht es um die symbolische „</w:t>
      </w:r>
      <w:proofErr w:type="spellStart"/>
      <w:r>
        <w:t>N</w:t>
      </w:r>
      <w:r>
        <w:t>ichtung</w:t>
      </w:r>
      <w:proofErr w:type="spellEnd"/>
      <w:r>
        <w:t xml:space="preserve">“ im Schaffensprozess, die erst das transzendieren ermöglicht.  </w:t>
      </w:r>
    </w:p>
    <w:p w:rsidR="007F6EF3" w:rsidRDefault="007F6EF3">
      <w:pPr>
        <w:jc w:val="right"/>
        <w:rPr>
          <w:rFonts w:hint="eastAsia"/>
        </w:rPr>
      </w:pPr>
    </w:p>
    <w:p w:rsidR="007F6EF3" w:rsidRDefault="007F6EF3">
      <w:pPr>
        <w:rPr>
          <w:rFonts w:hint="eastAsia"/>
        </w:rPr>
      </w:pPr>
    </w:p>
    <w:p w:rsidR="007F6EF3" w:rsidRPr="00A20E42" w:rsidRDefault="008A3A0D">
      <w:pPr>
        <w:rPr>
          <w:rFonts w:hint="eastAsia"/>
          <w:lang w:val="en-US"/>
        </w:rPr>
      </w:pPr>
      <w:r w:rsidRPr="00A20E42">
        <w:rPr>
          <w:rFonts w:ascii="Arial" w:hAnsi="Arial"/>
          <w:sz w:val="22"/>
          <w:szCs w:val="22"/>
          <w:lang w:val="en-US"/>
        </w:rPr>
        <w:t>MINNA ANTOVA: Visual art, Art in Public Space, Curator</w:t>
      </w:r>
    </w:p>
    <w:p w:rsidR="007F6EF3" w:rsidRDefault="008A3A0D">
      <w:pPr>
        <w:rPr>
          <w:rFonts w:hint="eastAsia"/>
        </w:rPr>
      </w:pPr>
      <w:r>
        <w:rPr>
          <w:rFonts w:ascii="Arial" w:hAnsi="Arial"/>
          <w:sz w:val="22"/>
          <w:szCs w:val="22"/>
        </w:rPr>
        <w:t>Meisterschule für Malerei/Bildhauerei, Akademie der bildenden Künste, Wien</w:t>
      </w:r>
    </w:p>
    <w:p w:rsidR="007F6EF3" w:rsidRDefault="007F6EF3">
      <w:pPr>
        <w:rPr>
          <w:rFonts w:ascii="Arial" w:hAnsi="Arial"/>
          <w:sz w:val="22"/>
          <w:szCs w:val="22"/>
        </w:rPr>
      </w:pPr>
    </w:p>
    <w:p w:rsidR="007F6EF3" w:rsidRDefault="008A3A0D">
      <w:pPr>
        <w:rPr>
          <w:rFonts w:hint="eastAsia"/>
        </w:rPr>
      </w:pPr>
      <w:r>
        <w:rPr>
          <w:rFonts w:ascii="Arial" w:hAnsi="Arial"/>
          <w:sz w:val="22"/>
          <w:szCs w:val="22"/>
        </w:rPr>
        <w:t>Welt-Raum-Archäologin, schöpft in ihrem Werk aus de</w:t>
      </w:r>
      <w:r>
        <w:rPr>
          <w:rFonts w:ascii="Arial" w:hAnsi="Arial"/>
          <w:sz w:val="22"/>
          <w:szCs w:val="22"/>
        </w:rPr>
        <w:t xml:space="preserve">r Auseinandersetzung </w:t>
      </w:r>
      <w:proofErr w:type="gramStart"/>
      <w:r>
        <w:rPr>
          <w:rFonts w:ascii="Arial" w:hAnsi="Arial"/>
          <w:sz w:val="22"/>
          <w:szCs w:val="22"/>
        </w:rPr>
        <w:t>mit öffentlichen Wirken</w:t>
      </w:r>
      <w:proofErr w:type="gramEnd"/>
      <w:r>
        <w:rPr>
          <w:rFonts w:ascii="Arial" w:hAnsi="Arial"/>
          <w:sz w:val="22"/>
          <w:szCs w:val="22"/>
        </w:rPr>
        <w:t xml:space="preserve"> und Mythen, dem Sakralen und Profanen, Gegenwarts-Phänomenen und Zukunfts-Visionen. Das Spiel mit Perspektiven ist im Werk ursächlich eingebaut und erzeugt produktiven Widerstand.</w:t>
      </w:r>
    </w:p>
    <w:p w:rsidR="007F6EF3" w:rsidRDefault="007F6EF3">
      <w:pPr>
        <w:rPr>
          <w:rFonts w:ascii="Arial" w:hAnsi="Arial"/>
        </w:rPr>
      </w:pPr>
    </w:p>
    <w:p w:rsidR="007F6EF3" w:rsidRDefault="008A3A0D">
      <w:pPr>
        <w:rPr>
          <w:rFonts w:hint="eastAsia"/>
        </w:rPr>
      </w:pPr>
      <w:proofErr w:type="spellStart"/>
      <w:r>
        <w:rPr>
          <w:rFonts w:ascii="Arial" w:hAnsi="Arial"/>
          <w:sz w:val="22"/>
          <w:szCs w:val="22"/>
        </w:rPr>
        <w:t>arbeitsfelder</w:t>
      </w:r>
      <w:proofErr w:type="spellEnd"/>
      <w:r>
        <w:rPr>
          <w:rFonts w:ascii="Arial" w:hAnsi="Arial"/>
          <w:sz w:val="22"/>
          <w:szCs w:val="22"/>
        </w:rPr>
        <w:t>:</w:t>
      </w:r>
    </w:p>
    <w:p w:rsidR="007F6EF3" w:rsidRDefault="008A3A0D">
      <w:pPr>
        <w:rPr>
          <w:rFonts w:hint="eastAsia"/>
        </w:rPr>
      </w:pPr>
      <w:r>
        <w:rPr>
          <w:rFonts w:ascii="Arial" w:hAnsi="Arial"/>
          <w:sz w:val="22"/>
          <w:szCs w:val="22"/>
        </w:rPr>
        <w:t>Die Bedeutung i</w:t>
      </w:r>
      <w:r>
        <w:rPr>
          <w:rFonts w:ascii="Arial" w:hAnsi="Arial"/>
          <w:sz w:val="22"/>
          <w:szCs w:val="22"/>
        </w:rPr>
        <w:t xml:space="preserve">n der Abwesenheit; Konstruktion und Dekonstruktion von kulturellem Gedächtnis im Öffentlichen Raum; Auseinandersetzung und Erforschung von Gender, Akkulturation, Kulturtransfer, Gender und </w:t>
      </w:r>
      <w:bookmarkStart w:id="1" w:name="__DdeLink__537_1848116258"/>
      <w:r>
        <w:rPr>
          <w:rFonts w:ascii="Arial" w:hAnsi="Arial"/>
          <w:sz w:val="22"/>
          <w:szCs w:val="22"/>
        </w:rPr>
        <w:t>Raum/Körper-Wahrnehmung</w:t>
      </w:r>
      <w:bookmarkEnd w:id="1"/>
      <w:r>
        <w:rPr>
          <w:rFonts w:ascii="Arial" w:hAnsi="Arial"/>
          <w:sz w:val="22"/>
          <w:szCs w:val="22"/>
        </w:rPr>
        <w:t>; Einbeziehung des sozialen Prozesses im Wer</w:t>
      </w:r>
      <w:r>
        <w:rPr>
          <w:rFonts w:ascii="Arial" w:hAnsi="Arial"/>
          <w:sz w:val="22"/>
          <w:szCs w:val="22"/>
        </w:rPr>
        <w:t>k.</w:t>
      </w:r>
    </w:p>
    <w:p w:rsidR="007F6EF3" w:rsidRDefault="007F6EF3">
      <w:pPr>
        <w:rPr>
          <w:rFonts w:ascii="Arial" w:hAnsi="Arial"/>
          <w:sz w:val="14"/>
          <w:szCs w:val="14"/>
        </w:rPr>
      </w:pPr>
    </w:p>
    <w:p w:rsidR="007F6EF3" w:rsidRDefault="008A3A0D">
      <w:pPr>
        <w:rPr>
          <w:rFonts w:hint="eastAsia"/>
        </w:rPr>
      </w:pPr>
      <w:r>
        <w:rPr>
          <w:rFonts w:ascii="Arial" w:hAnsi="Arial"/>
          <w:sz w:val="22"/>
          <w:szCs w:val="22"/>
        </w:rPr>
        <w:t xml:space="preserve">öffentliche Aufträge u.a.: </w:t>
      </w:r>
    </w:p>
    <w:p w:rsidR="007F6EF3" w:rsidRDefault="008A3A0D">
      <w:pPr>
        <w:rPr>
          <w:rFonts w:hint="eastAsia"/>
        </w:rPr>
      </w:pPr>
      <w:r>
        <w:rPr>
          <w:rFonts w:ascii="Arial" w:hAnsi="Arial"/>
          <w:sz w:val="22"/>
          <w:szCs w:val="22"/>
        </w:rPr>
        <w:t xml:space="preserve">Universität Wien: DENK-MAL </w:t>
      </w:r>
      <w:proofErr w:type="spellStart"/>
      <w:r>
        <w:rPr>
          <w:rFonts w:ascii="Arial" w:hAnsi="Arial"/>
          <w:sz w:val="22"/>
          <w:szCs w:val="22"/>
        </w:rPr>
        <w:t>Marpe</w:t>
      </w:r>
      <w:proofErr w:type="spellEnd"/>
      <w:r>
        <w:rPr>
          <w:rFonts w:ascii="Arial" w:hAnsi="Arial"/>
          <w:sz w:val="22"/>
          <w:szCs w:val="22"/>
        </w:rPr>
        <w:t xml:space="preserve"> </w:t>
      </w:r>
      <w:proofErr w:type="spellStart"/>
      <w:r>
        <w:rPr>
          <w:rFonts w:ascii="Arial" w:hAnsi="Arial"/>
          <w:sz w:val="22"/>
          <w:szCs w:val="22"/>
        </w:rPr>
        <w:t>Lanefesch</w:t>
      </w:r>
      <w:proofErr w:type="spellEnd"/>
      <w:r>
        <w:rPr>
          <w:rFonts w:ascii="Arial" w:hAnsi="Arial"/>
          <w:sz w:val="22"/>
          <w:szCs w:val="22"/>
        </w:rPr>
        <w:t xml:space="preserve">: Gesamtkonzeption und -Gestaltung der Baureste der ehemaligen AAKH Synagoge zum Ort des kulturellen </w:t>
      </w:r>
      <w:proofErr w:type="gramStart"/>
      <w:r>
        <w:rPr>
          <w:rFonts w:ascii="Arial" w:hAnsi="Arial"/>
          <w:sz w:val="22"/>
          <w:szCs w:val="22"/>
        </w:rPr>
        <w:t>Gedächtnisses ;</w:t>
      </w:r>
      <w:proofErr w:type="gramEnd"/>
      <w:r>
        <w:rPr>
          <w:rFonts w:ascii="Arial" w:hAnsi="Arial"/>
          <w:sz w:val="22"/>
          <w:szCs w:val="22"/>
        </w:rPr>
        <w:t xml:space="preserve"> </w:t>
      </w:r>
    </w:p>
    <w:p w:rsidR="007F6EF3" w:rsidRDefault="008A3A0D">
      <w:pPr>
        <w:rPr>
          <w:rFonts w:hint="eastAsia"/>
        </w:rPr>
      </w:pPr>
      <w:r>
        <w:rPr>
          <w:rFonts w:ascii="Arial" w:hAnsi="Arial"/>
          <w:sz w:val="22"/>
          <w:szCs w:val="22"/>
        </w:rPr>
        <w:t>Universität Wien – Gestaltung der Gänge des Instituts für Philos</w:t>
      </w:r>
      <w:r>
        <w:rPr>
          <w:rFonts w:ascii="Arial" w:hAnsi="Arial"/>
          <w:sz w:val="22"/>
          <w:szCs w:val="22"/>
        </w:rPr>
        <w:t xml:space="preserve">ophie, NIG: ДВА КВАДРАТА//IN TRANSIT//Lost &amp; </w:t>
      </w:r>
      <w:proofErr w:type="spellStart"/>
      <w:r>
        <w:rPr>
          <w:rFonts w:ascii="Arial" w:hAnsi="Arial"/>
          <w:sz w:val="22"/>
          <w:szCs w:val="22"/>
        </w:rPr>
        <w:t>Found</w:t>
      </w:r>
      <w:proofErr w:type="spellEnd"/>
      <w:r>
        <w:rPr>
          <w:rFonts w:ascii="Arial" w:hAnsi="Arial"/>
          <w:sz w:val="22"/>
          <w:szCs w:val="22"/>
        </w:rPr>
        <w:t xml:space="preserve"> Spaces </w:t>
      </w:r>
      <w:proofErr w:type="spellStart"/>
      <w:r>
        <w:rPr>
          <w:rFonts w:ascii="Arial" w:hAnsi="Arial"/>
          <w:sz w:val="22"/>
          <w:szCs w:val="22"/>
        </w:rPr>
        <w:t>of</w:t>
      </w:r>
      <w:proofErr w:type="spellEnd"/>
      <w:r>
        <w:rPr>
          <w:rFonts w:ascii="Arial" w:hAnsi="Arial"/>
          <w:sz w:val="22"/>
          <w:szCs w:val="22"/>
        </w:rPr>
        <w:t xml:space="preserve"> </w:t>
      </w:r>
      <w:proofErr w:type="spellStart"/>
      <w:r>
        <w:rPr>
          <w:rFonts w:ascii="Arial" w:hAnsi="Arial"/>
          <w:sz w:val="22"/>
          <w:szCs w:val="22"/>
        </w:rPr>
        <w:t>El</w:t>
      </w:r>
      <w:proofErr w:type="spellEnd"/>
      <w:r>
        <w:rPr>
          <w:rFonts w:ascii="Arial" w:hAnsi="Arial"/>
          <w:sz w:val="22"/>
          <w:szCs w:val="22"/>
        </w:rPr>
        <w:t xml:space="preserve"> </w:t>
      </w:r>
      <w:proofErr w:type="spellStart"/>
      <w:r>
        <w:rPr>
          <w:rFonts w:ascii="Arial" w:hAnsi="Arial"/>
          <w:sz w:val="22"/>
          <w:szCs w:val="22"/>
        </w:rPr>
        <w:t>Lissitzky</w:t>
      </w:r>
      <w:proofErr w:type="spellEnd"/>
      <w:r>
        <w:rPr>
          <w:rFonts w:ascii="Arial" w:hAnsi="Arial"/>
          <w:sz w:val="22"/>
          <w:szCs w:val="22"/>
        </w:rPr>
        <w:t xml:space="preserve"> </w:t>
      </w:r>
      <w:proofErr w:type="spellStart"/>
      <w:r>
        <w:rPr>
          <w:rFonts w:ascii="Arial" w:hAnsi="Arial"/>
          <w:sz w:val="22"/>
          <w:szCs w:val="22"/>
        </w:rPr>
        <w:t>and</w:t>
      </w:r>
      <w:proofErr w:type="spellEnd"/>
      <w:r>
        <w:rPr>
          <w:rFonts w:ascii="Arial" w:hAnsi="Arial"/>
          <w:sz w:val="22"/>
          <w:szCs w:val="22"/>
        </w:rPr>
        <w:t xml:space="preserve"> </w:t>
      </w:r>
      <w:proofErr w:type="spellStart"/>
      <w:r>
        <w:rPr>
          <w:rFonts w:ascii="Arial" w:hAnsi="Arial"/>
          <w:sz w:val="22"/>
          <w:szCs w:val="22"/>
        </w:rPr>
        <w:t>Friends</w:t>
      </w:r>
      <w:proofErr w:type="spellEnd"/>
      <w:r>
        <w:rPr>
          <w:rFonts w:ascii="Arial" w:hAnsi="Arial"/>
          <w:sz w:val="22"/>
          <w:szCs w:val="22"/>
        </w:rPr>
        <w:t>//</w:t>
      </w:r>
      <w:proofErr w:type="spellStart"/>
      <w:r>
        <w:rPr>
          <w:rFonts w:ascii="Arial" w:hAnsi="Arial"/>
          <w:sz w:val="22"/>
          <w:szCs w:val="22"/>
        </w:rPr>
        <w:t>Colour</w:t>
      </w:r>
      <w:proofErr w:type="spellEnd"/>
      <w:r>
        <w:rPr>
          <w:rFonts w:ascii="Arial" w:hAnsi="Arial"/>
          <w:sz w:val="22"/>
          <w:szCs w:val="22"/>
        </w:rPr>
        <w:t xml:space="preserve"> </w:t>
      </w:r>
      <w:proofErr w:type="spellStart"/>
      <w:r>
        <w:rPr>
          <w:rFonts w:ascii="Arial" w:hAnsi="Arial"/>
          <w:sz w:val="22"/>
          <w:szCs w:val="22"/>
        </w:rPr>
        <w:t>Interventions</w:t>
      </w:r>
      <w:proofErr w:type="spellEnd"/>
      <w:r>
        <w:rPr>
          <w:rFonts w:ascii="Arial" w:hAnsi="Arial"/>
          <w:sz w:val="22"/>
          <w:szCs w:val="22"/>
        </w:rPr>
        <w:t>.</w:t>
      </w:r>
    </w:p>
    <w:p w:rsidR="007F6EF3" w:rsidRDefault="008A3A0D">
      <w:pPr>
        <w:rPr>
          <w:rFonts w:hint="eastAsia"/>
        </w:rPr>
      </w:pPr>
      <w:r>
        <w:rPr>
          <w:rFonts w:ascii="Arial" w:hAnsi="Arial"/>
          <w:sz w:val="22"/>
          <w:szCs w:val="22"/>
        </w:rPr>
        <w:t xml:space="preserve">Graz, Caritas Lehranstalt für Sozialberufe:  Maria von </w:t>
      </w:r>
      <w:proofErr w:type="spellStart"/>
      <w:r>
        <w:rPr>
          <w:rFonts w:ascii="Arial" w:hAnsi="Arial"/>
          <w:sz w:val="22"/>
          <w:szCs w:val="22"/>
        </w:rPr>
        <w:t>Magdala</w:t>
      </w:r>
      <w:proofErr w:type="spellEnd"/>
      <w:r>
        <w:rPr>
          <w:rFonts w:ascii="Arial" w:hAnsi="Arial"/>
          <w:sz w:val="22"/>
          <w:szCs w:val="22"/>
        </w:rPr>
        <w:t xml:space="preserve">-Kapelle - Feministischer interaktiver sakraler Raum; </w:t>
      </w:r>
    </w:p>
    <w:p w:rsidR="007F6EF3" w:rsidRDefault="008A3A0D">
      <w:pPr>
        <w:rPr>
          <w:rFonts w:hint="eastAsia"/>
        </w:rPr>
      </w:pPr>
      <w:r>
        <w:rPr>
          <w:rFonts w:ascii="Arial" w:hAnsi="Arial"/>
          <w:sz w:val="22"/>
          <w:szCs w:val="22"/>
        </w:rPr>
        <w:t xml:space="preserve">Wien, </w:t>
      </w:r>
      <w:proofErr w:type="gramStart"/>
      <w:r>
        <w:rPr>
          <w:rFonts w:ascii="Arial" w:hAnsi="Arial"/>
          <w:sz w:val="22"/>
          <w:szCs w:val="22"/>
        </w:rPr>
        <w:t>SPECVLVM  Gestaltung</w:t>
      </w:r>
      <w:proofErr w:type="gramEnd"/>
      <w:r>
        <w:rPr>
          <w:rFonts w:ascii="Arial" w:hAnsi="Arial"/>
          <w:sz w:val="22"/>
          <w:szCs w:val="22"/>
        </w:rPr>
        <w:t xml:space="preserve"> des Kommunikationsraumes des Frauenbildungshauses </w:t>
      </w:r>
      <w:proofErr w:type="spellStart"/>
      <w:r>
        <w:rPr>
          <w:rFonts w:ascii="Arial" w:hAnsi="Arial"/>
          <w:sz w:val="22"/>
          <w:szCs w:val="22"/>
        </w:rPr>
        <w:t>FrauenHetz</w:t>
      </w:r>
      <w:proofErr w:type="spellEnd"/>
      <w:r>
        <w:rPr>
          <w:rFonts w:ascii="Arial" w:hAnsi="Arial"/>
          <w:sz w:val="22"/>
          <w:szCs w:val="22"/>
        </w:rPr>
        <w:t xml:space="preserve">. </w:t>
      </w:r>
    </w:p>
    <w:p w:rsidR="007F6EF3" w:rsidRDefault="007F6EF3">
      <w:pPr>
        <w:rPr>
          <w:rFonts w:ascii="Arial" w:hAnsi="Arial"/>
          <w:sz w:val="22"/>
          <w:szCs w:val="22"/>
        </w:rPr>
      </w:pPr>
    </w:p>
    <w:p w:rsidR="007F6EF3" w:rsidRDefault="008A3A0D">
      <w:pPr>
        <w:rPr>
          <w:rFonts w:hint="eastAsia"/>
        </w:rPr>
      </w:pPr>
      <w:r>
        <w:rPr>
          <w:rFonts w:ascii="Arial" w:hAnsi="Arial"/>
          <w:sz w:val="22"/>
          <w:szCs w:val="22"/>
        </w:rPr>
        <w:t>Ausstellungen Auswahl:</w:t>
      </w:r>
    </w:p>
    <w:p w:rsidR="007F6EF3" w:rsidRDefault="008A3A0D">
      <w:pPr>
        <w:rPr>
          <w:rFonts w:ascii="Arial" w:hAnsi="Arial"/>
          <w:sz w:val="22"/>
          <w:szCs w:val="22"/>
        </w:rPr>
      </w:pPr>
      <w:r>
        <w:rPr>
          <w:rFonts w:ascii="Arial" w:hAnsi="Arial"/>
          <w:sz w:val="22"/>
          <w:szCs w:val="22"/>
        </w:rPr>
        <w:t xml:space="preserve">Wien, Haus Wittgenstein, </w:t>
      </w:r>
      <w:proofErr w:type="spellStart"/>
      <w:r>
        <w:rPr>
          <w:rFonts w:ascii="Arial" w:hAnsi="Arial"/>
          <w:sz w:val="22"/>
          <w:szCs w:val="22"/>
        </w:rPr>
        <w:t>SKIN#touching</w:t>
      </w:r>
      <w:proofErr w:type="spellEnd"/>
      <w:r>
        <w:rPr>
          <w:rFonts w:ascii="Arial" w:hAnsi="Arial"/>
          <w:sz w:val="22"/>
          <w:szCs w:val="22"/>
        </w:rPr>
        <w:t xml:space="preserve">//NOLI ME TANGERE; Guatemala City, </w:t>
      </w:r>
      <w:proofErr w:type="spellStart"/>
      <w:r>
        <w:rPr>
          <w:rFonts w:ascii="Arial" w:hAnsi="Arial"/>
          <w:sz w:val="22"/>
          <w:szCs w:val="22"/>
        </w:rPr>
        <w:t>Museo</w:t>
      </w:r>
      <w:proofErr w:type="spellEnd"/>
      <w:r>
        <w:rPr>
          <w:rFonts w:ascii="Arial" w:hAnsi="Arial"/>
          <w:sz w:val="22"/>
          <w:szCs w:val="22"/>
        </w:rPr>
        <w:t xml:space="preserve"> </w:t>
      </w:r>
      <w:proofErr w:type="spellStart"/>
      <w:r>
        <w:rPr>
          <w:rFonts w:ascii="Arial" w:hAnsi="Arial"/>
          <w:sz w:val="22"/>
          <w:szCs w:val="22"/>
        </w:rPr>
        <w:t>Nacional</w:t>
      </w:r>
      <w:proofErr w:type="spellEnd"/>
      <w:r>
        <w:rPr>
          <w:rFonts w:ascii="Arial" w:hAnsi="Arial"/>
          <w:sz w:val="22"/>
          <w:szCs w:val="22"/>
        </w:rPr>
        <w:t xml:space="preserve"> de Arte </w:t>
      </w:r>
      <w:proofErr w:type="spellStart"/>
      <w:r>
        <w:rPr>
          <w:rFonts w:ascii="Arial" w:hAnsi="Arial"/>
          <w:sz w:val="22"/>
          <w:szCs w:val="22"/>
        </w:rPr>
        <w:t>Moderno</w:t>
      </w:r>
      <w:proofErr w:type="spellEnd"/>
      <w:r>
        <w:rPr>
          <w:rFonts w:ascii="Arial" w:hAnsi="Arial"/>
          <w:sz w:val="22"/>
          <w:szCs w:val="22"/>
        </w:rPr>
        <w:t xml:space="preserve">: A-SPECTOS; Hangzhou, China, </w:t>
      </w:r>
      <w:proofErr w:type="spellStart"/>
      <w:r>
        <w:rPr>
          <w:rFonts w:ascii="Arial" w:hAnsi="Arial"/>
          <w:sz w:val="22"/>
          <w:szCs w:val="22"/>
        </w:rPr>
        <w:t>Zhejiang</w:t>
      </w:r>
      <w:proofErr w:type="spellEnd"/>
      <w:r>
        <w:rPr>
          <w:rFonts w:ascii="Arial" w:hAnsi="Arial"/>
          <w:sz w:val="22"/>
          <w:szCs w:val="22"/>
        </w:rPr>
        <w:t>-</w:t>
      </w:r>
      <w:r>
        <w:rPr>
          <w:rFonts w:ascii="Arial" w:hAnsi="Arial"/>
          <w:sz w:val="22"/>
          <w:szCs w:val="22"/>
        </w:rPr>
        <w:t xml:space="preserve">Museum + Wien, Parlament, Säulenhalle: SPACES; Madrid, </w:t>
      </w:r>
      <w:proofErr w:type="spellStart"/>
      <w:r>
        <w:rPr>
          <w:rFonts w:ascii="Arial" w:hAnsi="Arial"/>
          <w:sz w:val="22"/>
          <w:szCs w:val="22"/>
        </w:rPr>
        <w:t>Museo</w:t>
      </w:r>
      <w:proofErr w:type="spellEnd"/>
      <w:r>
        <w:rPr>
          <w:rFonts w:ascii="Arial" w:hAnsi="Arial"/>
          <w:sz w:val="22"/>
          <w:szCs w:val="22"/>
        </w:rPr>
        <w:t xml:space="preserve"> de Art en </w:t>
      </w:r>
      <w:proofErr w:type="spellStart"/>
      <w:r>
        <w:rPr>
          <w:rFonts w:ascii="Arial" w:hAnsi="Arial"/>
          <w:sz w:val="22"/>
          <w:szCs w:val="22"/>
        </w:rPr>
        <w:t>Vidrio</w:t>
      </w:r>
      <w:proofErr w:type="spellEnd"/>
      <w:r>
        <w:rPr>
          <w:rFonts w:ascii="Arial" w:hAnsi="Arial"/>
          <w:sz w:val="22"/>
          <w:szCs w:val="22"/>
        </w:rPr>
        <w:t xml:space="preserve"> de Alcorcón: „</w:t>
      </w:r>
      <w:proofErr w:type="spellStart"/>
      <w:r>
        <w:rPr>
          <w:rFonts w:ascii="Arial" w:hAnsi="Arial"/>
          <w:sz w:val="22"/>
          <w:szCs w:val="22"/>
        </w:rPr>
        <w:t>Vidriera</w:t>
      </w:r>
      <w:proofErr w:type="spellEnd"/>
      <w:r>
        <w:rPr>
          <w:rFonts w:ascii="Arial" w:hAnsi="Arial"/>
          <w:sz w:val="22"/>
          <w:szCs w:val="22"/>
        </w:rPr>
        <w:t xml:space="preserve"> </w:t>
      </w:r>
      <w:proofErr w:type="spellStart"/>
      <w:r>
        <w:rPr>
          <w:rFonts w:ascii="Arial" w:hAnsi="Arial"/>
          <w:sz w:val="22"/>
          <w:szCs w:val="22"/>
        </w:rPr>
        <w:t>Contemporanea</w:t>
      </w:r>
      <w:proofErr w:type="spellEnd"/>
      <w:r>
        <w:rPr>
          <w:rFonts w:ascii="Arial" w:hAnsi="Arial"/>
          <w:sz w:val="22"/>
          <w:szCs w:val="22"/>
        </w:rPr>
        <w:t>“; Wien, Dommuseum: „Feuer und Geist“, ERMINIEN/Palimpseste; Wien, Nationalbibliothek: TORAH-ROLLEN;  Wien, Parlament: OFFENE RÄUME; Wien, Hof</w:t>
      </w:r>
      <w:r>
        <w:rPr>
          <w:rFonts w:ascii="Arial" w:hAnsi="Arial"/>
          <w:sz w:val="22"/>
          <w:szCs w:val="22"/>
        </w:rPr>
        <w:t>burg: DIAGONALEN; Haus Wittgenstein, Wittgenstein 1918 – 2018; Bonn, Frauenmuseum: REVOLTE IM ORNAMENT- Bilder zu Judith; London, Österreichisches Kulturinstitut: CROSSING THE CODICES; Wien, Künstlerhaus: RAUM-SCHNITTE;  Davos, Galerie Haas.</w:t>
      </w:r>
    </w:p>
    <w:p w:rsidR="007F6EF3" w:rsidRDefault="007F6EF3">
      <w:pPr>
        <w:rPr>
          <w:rFonts w:hint="eastAsia"/>
        </w:rPr>
      </w:pPr>
    </w:p>
    <w:sectPr w:rsidR="007F6EF3">
      <w:pgSz w:w="11906" w:h="16838"/>
      <w:pgMar w:top="567" w:right="567" w:bottom="567" w:left="56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F3"/>
    <w:rsid w:val="005E1F26"/>
    <w:rsid w:val="007F6EF3"/>
    <w:rsid w:val="008A3A0D"/>
    <w:rsid w:val="00A20E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98C8B72"/>
  <w15:docId w15:val="{36075AB7-7EC1-4342-B2E3-AC4EA996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minna.antova.3" TargetMode="External"/><Relationship Id="rId4" Type="http://schemas.openxmlformats.org/officeDocument/2006/relationships/hyperlink" Target="mailto:minna.antova@aon.at"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2025-07-06T15:38:00Z</dcterms:created>
  <dcterms:modified xsi:type="dcterms:W3CDTF">2025-07-06T17:27:00Z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2024-08-19T17:04:30Z</dcterms:created>
  <dc:creator/>
  <dc:description/>
  <dc:language>de-DE</dc:language>
  <cp:lastModifiedBy/>
  <dcterms:modified xsi:type="dcterms:W3CDTF">2024-08-19T17:50:53Z</dcterms:modified>
  <cp:revision>1</cp:revision>
  <dc:subject/>
  <dc:title/>
</cp:coreProperties>
</file>